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F2E9" w14:textId="2A7E952F" w:rsidR="002E2E62" w:rsidRPr="008E0552" w:rsidRDefault="008E0552" w:rsidP="002E2E62">
      <w:pPr>
        <w:rPr>
          <w:rFonts w:asciiTheme="minorHAnsi" w:hAnsiTheme="minorHAnsi" w:cstheme="minorHAnsi"/>
          <w:b/>
          <w:bCs/>
          <w:sz w:val="28"/>
          <w:szCs w:val="28"/>
        </w:rPr>
      </w:pPr>
      <w:bookmarkStart w:id="0" w:name="_Toc2759554"/>
      <w:r w:rsidRPr="008E0552">
        <w:rPr>
          <w:rFonts w:asciiTheme="minorHAnsi" w:hAnsiTheme="minorHAnsi" w:cstheme="minorHAnsi"/>
          <w:b/>
          <w:bCs/>
          <w:sz w:val="28"/>
          <w:szCs w:val="28"/>
        </w:rPr>
        <w:t>Eléments permettant d’apprécier la</w:t>
      </w:r>
      <w:r w:rsidR="002E2E62" w:rsidRPr="008E0552">
        <w:rPr>
          <w:rFonts w:asciiTheme="minorHAnsi" w:hAnsiTheme="minorHAnsi" w:cstheme="minorHAnsi"/>
          <w:b/>
          <w:bCs/>
          <w:sz w:val="28"/>
          <w:szCs w:val="28"/>
        </w:rPr>
        <w:t xml:space="preserve"> </w:t>
      </w:r>
      <w:r w:rsidRPr="008E0552">
        <w:rPr>
          <w:rFonts w:asciiTheme="minorHAnsi" w:hAnsiTheme="minorHAnsi" w:cstheme="minorHAnsi"/>
          <w:b/>
          <w:bCs/>
          <w:sz w:val="28"/>
          <w:szCs w:val="28"/>
        </w:rPr>
        <w:t>compatibilité du projet avec certains</w:t>
      </w:r>
      <w:r w:rsidR="002E2E62" w:rsidRPr="008E0552">
        <w:rPr>
          <w:rFonts w:asciiTheme="minorHAnsi" w:hAnsiTheme="minorHAnsi" w:cstheme="minorHAnsi"/>
          <w:b/>
          <w:bCs/>
          <w:sz w:val="28"/>
          <w:szCs w:val="28"/>
        </w:rPr>
        <w:t xml:space="preserve"> </w:t>
      </w:r>
      <w:r w:rsidRPr="008E0552">
        <w:rPr>
          <w:rFonts w:asciiTheme="minorHAnsi" w:hAnsiTheme="minorHAnsi" w:cstheme="minorHAnsi"/>
          <w:b/>
          <w:bCs/>
          <w:sz w:val="28"/>
          <w:szCs w:val="28"/>
        </w:rPr>
        <w:t>plans, schémas et programmes</w:t>
      </w:r>
    </w:p>
    <w:p w14:paraId="545DF06E" w14:textId="77777777" w:rsidR="00C77D22" w:rsidRPr="00C77D22" w:rsidRDefault="00C77D22" w:rsidP="002E2E62">
      <w:pPr>
        <w:pStyle w:val="Titre4"/>
        <w:rPr>
          <w:szCs w:val="22"/>
        </w:rPr>
      </w:pPr>
      <w:r w:rsidRPr="00C77D22">
        <w:t>Schéma Directeur d'Aménagement et de la Gestion des Eaux (SDAGE)</w:t>
      </w:r>
      <w:bookmarkEnd w:id="0"/>
    </w:p>
    <w:p w14:paraId="32DDA13A" w14:textId="77777777" w:rsidR="00C77D22" w:rsidRPr="00C77D22" w:rsidRDefault="00C77D22" w:rsidP="00C77D22">
      <w:pPr>
        <w:rPr>
          <w:rFonts w:asciiTheme="minorHAnsi" w:hAnsiTheme="minorHAnsi" w:cstheme="minorHAnsi"/>
        </w:rPr>
      </w:pPr>
    </w:p>
    <w:p w14:paraId="150147FD" w14:textId="1C112EA4" w:rsidR="002E2E62" w:rsidRDefault="002E2E62" w:rsidP="00C77D22">
      <w:pPr>
        <w:rPr>
          <w:rFonts w:asciiTheme="minorHAnsi" w:hAnsiTheme="minorHAnsi" w:cstheme="minorHAnsi"/>
        </w:rPr>
      </w:pPr>
      <w:r>
        <w:rPr>
          <w:rFonts w:ascii="Calibri" w:eastAsiaTheme="minorHAnsi" w:hAnsi="Calibri" w:cs="Calibri"/>
        </w:rPr>
        <w:t>Le projet de plateforme logistique de la société IMANY est implanté sur la commune de Langres appartenant au bassin Seine Normandie.</w:t>
      </w:r>
    </w:p>
    <w:p w14:paraId="7B7EEBCF" w14:textId="3FAAC2D5" w:rsidR="00C77D22" w:rsidRPr="00C77D22" w:rsidRDefault="00C77D22" w:rsidP="00C77D22">
      <w:pPr>
        <w:rPr>
          <w:rFonts w:asciiTheme="minorHAnsi" w:hAnsiTheme="minorHAnsi" w:cstheme="minorHAnsi"/>
        </w:rPr>
      </w:pPr>
      <w:r w:rsidRPr="00C77D22">
        <w:rPr>
          <w:rFonts w:asciiTheme="minorHAnsi" w:hAnsiTheme="minorHAnsi" w:cstheme="minorHAnsi"/>
        </w:rPr>
        <w:t xml:space="preserve">Le SDAGE présente un double objet : </w:t>
      </w:r>
    </w:p>
    <w:p w14:paraId="4F2957D0" w14:textId="79012654"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Constituer</w:t>
      </w:r>
      <w:r w:rsidR="00C77D22" w:rsidRPr="00C77D22">
        <w:rPr>
          <w:rFonts w:asciiTheme="minorHAnsi" w:hAnsiTheme="minorHAnsi" w:cstheme="minorHAnsi"/>
        </w:rPr>
        <w:t xml:space="preserve"> le Plan de gestion ou au moins la partie française du Plan de gestion des districts hydrographiques, au titre de la Directive Cadre sur l’Eau,</w:t>
      </w:r>
    </w:p>
    <w:p w14:paraId="001AAAE5" w14:textId="70DE445B"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Rester</w:t>
      </w:r>
      <w:r w:rsidR="00C77D22" w:rsidRPr="00C77D22">
        <w:rPr>
          <w:rFonts w:asciiTheme="minorHAnsi" w:hAnsiTheme="minorHAnsi" w:cstheme="minorHAnsi"/>
        </w:rPr>
        <w:t xml:space="preserve"> le document global de planification française pour une gestion équilibrée et durable de la ressource en eau.</w:t>
      </w:r>
    </w:p>
    <w:p w14:paraId="1A1ACEFD" w14:textId="77777777" w:rsidR="00C77D22" w:rsidRPr="00C77D22" w:rsidRDefault="00C77D22" w:rsidP="00C77D22">
      <w:pPr>
        <w:jc w:val="both"/>
        <w:rPr>
          <w:rFonts w:asciiTheme="minorHAnsi" w:hAnsiTheme="minorHAnsi" w:cstheme="minorHAnsi"/>
        </w:rPr>
      </w:pPr>
    </w:p>
    <w:p w14:paraId="11837171" w14:textId="77777777" w:rsidR="00C77D22" w:rsidRPr="00C77D22" w:rsidRDefault="00C77D22" w:rsidP="00C77D22">
      <w:pPr>
        <w:jc w:val="both"/>
        <w:rPr>
          <w:rFonts w:asciiTheme="minorHAnsi" w:hAnsiTheme="minorHAnsi" w:cstheme="minorHAnsi"/>
        </w:rPr>
      </w:pPr>
      <w:r w:rsidRPr="00C77D22">
        <w:rPr>
          <w:rFonts w:asciiTheme="minorHAnsi" w:hAnsiTheme="minorHAnsi" w:cstheme="minorHAnsi"/>
        </w:rPr>
        <w:t>Le SDAGE Seine Normandie pour la période 2016-2021 a été approuvé le 5 novembre 2015.</w:t>
      </w:r>
    </w:p>
    <w:p w14:paraId="7AA3C05D" w14:textId="77777777" w:rsidR="00C77D22" w:rsidRPr="00C77D22" w:rsidRDefault="00C77D22" w:rsidP="00C77D22">
      <w:pPr>
        <w:jc w:val="both"/>
        <w:rPr>
          <w:rFonts w:asciiTheme="minorHAnsi" w:hAnsiTheme="minorHAnsi" w:cstheme="minorHAnsi"/>
        </w:rPr>
      </w:pPr>
      <w:r w:rsidRPr="00C77D22">
        <w:rPr>
          <w:rFonts w:asciiTheme="minorHAnsi" w:hAnsiTheme="minorHAnsi" w:cstheme="minorHAnsi"/>
        </w:rPr>
        <w:t>Le nouveau SDAGE du Comité de Bassin Seine Normandie vise à atteindre</w:t>
      </w:r>
      <w:proofErr w:type="gramStart"/>
      <w:r w:rsidRPr="00C77D22">
        <w:rPr>
          <w:rFonts w:asciiTheme="minorHAnsi" w:hAnsiTheme="minorHAnsi" w:cstheme="minorHAnsi"/>
        </w:rPr>
        <w:t xml:space="preserve"> «le</w:t>
      </w:r>
      <w:proofErr w:type="gramEnd"/>
      <w:r w:rsidRPr="00C77D22">
        <w:rPr>
          <w:rFonts w:asciiTheme="minorHAnsi" w:hAnsiTheme="minorHAnsi" w:cstheme="minorHAnsi"/>
        </w:rPr>
        <w:t xml:space="preserve"> bon état écologique» pour 62% des rivières (le niveau atteint fin 2015 étant de 39%) et le « bon état chimique » pour 28% des eaux souterraines. </w:t>
      </w:r>
    </w:p>
    <w:p w14:paraId="7717AAA5" w14:textId="77777777" w:rsidR="00C77D22" w:rsidRPr="00C77D22" w:rsidRDefault="00C77D22" w:rsidP="00C77D22">
      <w:pPr>
        <w:jc w:val="both"/>
        <w:rPr>
          <w:rFonts w:asciiTheme="minorHAnsi" w:hAnsiTheme="minorHAnsi" w:cstheme="minorHAnsi"/>
        </w:rPr>
      </w:pPr>
    </w:p>
    <w:p w14:paraId="61FA7FE3" w14:textId="77777777" w:rsidR="00C77D22" w:rsidRPr="00C77D22" w:rsidRDefault="00C77D22" w:rsidP="00C77D22">
      <w:pPr>
        <w:jc w:val="both"/>
        <w:rPr>
          <w:rFonts w:asciiTheme="minorHAnsi" w:hAnsiTheme="minorHAnsi" w:cstheme="minorHAnsi"/>
        </w:rPr>
      </w:pPr>
      <w:r w:rsidRPr="00C77D22">
        <w:rPr>
          <w:rFonts w:asciiTheme="minorHAnsi" w:hAnsiTheme="minorHAnsi" w:cstheme="minorHAnsi"/>
        </w:rPr>
        <w:t>Le SDAGE Seine Normandie compte désormais 44 orientations et 191 dispositions qui sont organisées autour des grands défis et leviers d’actions principaux suivants :</w:t>
      </w:r>
    </w:p>
    <w:p w14:paraId="620922B8" w14:textId="5740BE9B"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Diminution</w:t>
      </w:r>
      <w:r w:rsidR="00C77D22" w:rsidRPr="00C77D22">
        <w:rPr>
          <w:rFonts w:asciiTheme="minorHAnsi" w:hAnsiTheme="minorHAnsi" w:cstheme="minorHAnsi"/>
        </w:rPr>
        <w:t xml:space="preserve"> des pollutions ponctuelles,</w:t>
      </w:r>
    </w:p>
    <w:p w14:paraId="1385E555" w14:textId="62EA8DD8"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Diminution</w:t>
      </w:r>
      <w:r w:rsidR="00C77D22" w:rsidRPr="00C77D22">
        <w:rPr>
          <w:rFonts w:asciiTheme="minorHAnsi" w:hAnsiTheme="minorHAnsi" w:cstheme="minorHAnsi"/>
        </w:rPr>
        <w:t xml:space="preserve"> des pollutions diffuses,</w:t>
      </w:r>
    </w:p>
    <w:p w14:paraId="12BBA45B" w14:textId="3BD4EA4E"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Réduction</w:t>
      </w:r>
      <w:r w:rsidR="00C77D22" w:rsidRPr="00C77D22">
        <w:rPr>
          <w:rFonts w:asciiTheme="minorHAnsi" w:hAnsiTheme="minorHAnsi" w:cstheme="minorHAnsi"/>
        </w:rPr>
        <w:t xml:space="preserve"> des pollutions par les micropolluants,</w:t>
      </w:r>
    </w:p>
    <w:p w14:paraId="439CEC8F" w14:textId="59A67DAA"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Protection</w:t>
      </w:r>
      <w:r w:rsidR="00C77D22" w:rsidRPr="00C77D22">
        <w:rPr>
          <w:rFonts w:asciiTheme="minorHAnsi" w:hAnsiTheme="minorHAnsi" w:cstheme="minorHAnsi"/>
        </w:rPr>
        <w:t xml:space="preserve"> de la mer et du littoral,</w:t>
      </w:r>
    </w:p>
    <w:p w14:paraId="762BF7F2" w14:textId="4D0DA649"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Protection</w:t>
      </w:r>
      <w:r w:rsidR="00C77D22" w:rsidRPr="00C77D22">
        <w:rPr>
          <w:rFonts w:asciiTheme="minorHAnsi" w:hAnsiTheme="minorHAnsi" w:cstheme="minorHAnsi"/>
        </w:rPr>
        <w:t xml:space="preserve"> des captages pour l’alimentation en eau potables,</w:t>
      </w:r>
    </w:p>
    <w:p w14:paraId="0FD4027E" w14:textId="682B7127"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Restauration</w:t>
      </w:r>
      <w:r w:rsidR="00C77D22" w:rsidRPr="00C77D22">
        <w:rPr>
          <w:rFonts w:asciiTheme="minorHAnsi" w:hAnsiTheme="minorHAnsi" w:cstheme="minorHAnsi"/>
        </w:rPr>
        <w:t xml:space="preserve"> des milieux aquatiques,</w:t>
      </w:r>
    </w:p>
    <w:p w14:paraId="53704DC0" w14:textId="64F74870"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Gestion</w:t>
      </w:r>
      <w:r w:rsidR="00C77D22" w:rsidRPr="00C77D22">
        <w:rPr>
          <w:rFonts w:asciiTheme="minorHAnsi" w:hAnsiTheme="minorHAnsi" w:cstheme="minorHAnsi"/>
        </w:rPr>
        <w:t xml:space="preserve"> de la rareté de la ressource en eau,</w:t>
      </w:r>
    </w:p>
    <w:p w14:paraId="16639E83" w14:textId="6AB8FDC5"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Prévention</w:t>
      </w:r>
      <w:r w:rsidR="00C77D22" w:rsidRPr="00C77D22">
        <w:rPr>
          <w:rFonts w:asciiTheme="minorHAnsi" w:hAnsiTheme="minorHAnsi" w:cstheme="minorHAnsi"/>
        </w:rPr>
        <w:t xml:space="preserve"> du risque d’inondation,</w:t>
      </w:r>
    </w:p>
    <w:p w14:paraId="06C4C050" w14:textId="69E992AB" w:rsidR="00C77D22" w:rsidRP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Acquisition</w:t>
      </w:r>
      <w:r w:rsidR="00C77D22" w:rsidRPr="00C77D22">
        <w:rPr>
          <w:rFonts w:asciiTheme="minorHAnsi" w:hAnsiTheme="minorHAnsi" w:cstheme="minorHAnsi"/>
        </w:rPr>
        <w:t xml:space="preserve"> et partage des connaissances,</w:t>
      </w:r>
    </w:p>
    <w:p w14:paraId="451283CB" w14:textId="382F24EF" w:rsidR="00C77D22" w:rsidRDefault="005048E5" w:rsidP="00C77D22">
      <w:pPr>
        <w:numPr>
          <w:ilvl w:val="0"/>
          <w:numId w:val="2"/>
        </w:numPr>
        <w:spacing w:before="120" w:after="120"/>
        <w:ind w:left="709"/>
        <w:jc w:val="both"/>
        <w:rPr>
          <w:rFonts w:asciiTheme="minorHAnsi" w:hAnsiTheme="minorHAnsi" w:cstheme="minorHAnsi"/>
        </w:rPr>
      </w:pPr>
      <w:r w:rsidRPr="00C77D22">
        <w:rPr>
          <w:rFonts w:asciiTheme="minorHAnsi" w:hAnsiTheme="minorHAnsi" w:cstheme="minorHAnsi"/>
        </w:rPr>
        <w:t>Développement</w:t>
      </w:r>
      <w:r w:rsidR="00C77D22" w:rsidRPr="00C77D22">
        <w:rPr>
          <w:rFonts w:asciiTheme="minorHAnsi" w:hAnsiTheme="minorHAnsi" w:cstheme="minorHAnsi"/>
        </w:rPr>
        <w:t xml:space="preserve"> de la gouvernance et analyse économiques.</w:t>
      </w:r>
    </w:p>
    <w:p w14:paraId="1CEDDFFB" w14:textId="5199F6AA" w:rsidR="002E2E62" w:rsidRDefault="002E2E62" w:rsidP="002E2E62">
      <w:pPr>
        <w:autoSpaceDE w:val="0"/>
        <w:autoSpaceDN w:val="0"/>
        <w:adjustRightInd w:val="0"/>
        <w:rPr>
          <w:rFonts w:ascii="Calibri" w:eastAsiaTheme="minorHAnsi" w:hAnsi="Calibri" w:cs="Calibri"/>
        </w:rPr>
      </w:pPr>
      <w:r w:rsidRPr="002E2E62">
        <w:rPr>
          <w:rFonts w:ascii="Calibri" w:eastAsiaTheme="minorHAnsi" w:hAnsi="Calibri" w:cs="Calibri"/>
        </w:rPr>
        <w:t xml:space="preserve">Le projet </w:t>
      </w:r>
      <w:r>
        <w:rPr>
          <w:rFonts w:ascii="Calibri" w:eastAsiaTheme="minorHAnsi" w:hAnsi="Calibri" w:cs="Calibri"/>
        </w:rPr>
        <w:t>de la société IMANY :</w:t>
      </w:r>
    </w:p>
    <w:p w14:paraId="1A98B80B" w14:textId="77777777" w:rsidR="002E2E62" w:rsidRPr="002E2E62" w:rsidRDefault="002E2E62" w:rsidP="002E2E62">
      <w:pPr>
        <w:autoSpaceDE w:val="0"/>
        <w:autoSpaceDN w:val="0"/>
        <w:adjustRightInd w:val="0"/>
        <w:rPr>
          <w:rFonts w:ascii="Calibri" w:eastAsiaTheme="minorHAnsi" w:hAnsi="Calibri" w:cs="Calibri"/>
        </w:rPr>
      </w:pPr>
    </w:p>
    <w:p w14:paraId="22A44085" w14:textId="04CE49C9" w:rsidR="002E2E62" w:rsidRPr="002E2E62" w:rsidRDefault="002E2E62" w:rsidP="002E2E62">
      <w:pPr>
        <w:pStyle w:val="Paragraphedeliste"/>
        <w:numPr>
          <w:ilvl w:val="0"/>
          <w:numId w:val="2"/>
        </w:numPr>
        <w:autoSpaceDE w:val="0"/>
        <w:autoSpaceDN w:val="0"/>
        <w:adjustRightInd w:val="0"/>
        <w:rPr>
          <w:rFonts w:ascii="Calibri" w:eastAsiaTheme="minorHAnsi" w:hAnsi="Calibri" w:cs="Calibri"/>
        </w:rPr>
      </w:pPr>
      <w:r w:rsidRPr="002E2E62">
        <w:rPr>
          <w:rFonts w:ascii="Calibri" w:eastAsiaTheme="minorHAnsi" w:hAnsi="Calibri" w:cs="Calibri"/>
        </w:rPr>
        <w:t>N’induit pas de destruction de zone humide et n’a pas d’effet sur la biodiversité associée ;</w:t>
      </w:r>
    </w:p>
    <w:p w14:paraId="124BEF22" w14:textId="5FB8FDA8" w:rsidR="002E2E62" w:rsidRPr="002E2E62" w:rsidRDefault="002E2E62" w:rsidP="002E2E62">
      <w:pPr>
        <w:pStyle w:val="Paragraphedeliste"/>
        <w:numPr>
          <w:ilvl w:val="0"/>
          <w:numId w:val="2"/>
        </w:numPr>
        <w:autoSpaceDE w:val="0"/>
        <w:autoSpaceDN w:val="0"/>
        <w:adjustRightInd w:val="0"/>
        <w:rPr>
          <w:rFonts w:ascii="Calibri" w:eastAsiaTheme="minorHAnsi" w:hAnsi="Calibri" w:cs="Calibri"/>
        </w:rPr>
      </w:pPr>
      <w:r w:rsidRPr="002E2E62">
        <w:rPr>
          <w:rFonts w:ascii="Calibri" w:eastAsiaTheme="minorHAnsi" w:hAnsi="Calibri" w:cs="Calibri"/>
        </w:rPr>
        <w:t>N’induit pas d’effets sur les cours d’eau (pas de rejet d’effluent) ;</w:t>
      </w:r>
    </w:p>
    <w:p w14:paraId="0621A367" w14:textId="1F4B1D40" w:rsidR="002E2E62" w:rsidRPr="002E2E62" w:rsidRDefault="002E2E62" w:rsidP="002E2E62">
      <w:pPr>
        <w:pStyle w:val="Paragraphedeliste"/>
        <w:numPr>
          <w:ilvl w:val="0"/>
          <w:numId w:val="2"/>
        </w:numPr>
        <w:autoSpaceDE w:val="0"/>
        <w:autoSpaceDN w:val="0"/>
        <w:adjustRightInd w:val="0"/>
        <w:rPr>
          <w:rFonts w:ascii="Calibri" w:eastAsiaTheme="minorHAnsi" w:hAnsi="Calibri" w:cs="Calibri"/>
        </w:rPr>
      </w:pPr>
      <w:r w:rsidRPr="002E2E62">
        <w:rPr>
          <w:rFonts w:ascii="Calibri" w:eastAsiaTheme="minorHAnsi" w:hAnsi="Calibri" w:cs="Calibri"/>
        </w:rPr>
        <w:t>N’induit pas de rejets de substances dangereuses ;</w:t>
      </w:r>
    </w:p>
    <w:p w14:paraId="0F0080F0" w14:textId="4EA62D1A" w:rsidR="002E2E62" w:rsidRPr="002E2E62" w:rsidRDefault="002E2E62" w:rsidP="002E2E62">
      <w:pPr>
        <w:pStyle w:val="Paragraphedeliste"/>
        <w:numPr>
          <w:ilvl w:val="0"/>
          <w:numId w:val="2"/>
        </w:numPr>
        <w:spacing w:before="120" w:after="120"/>
        <w:jc w:val="both"/>
        <w:rPr>
          <w:rFonts w:asciiTheme="minorHAnsi" w:hAnsiTheme="minorHAnsi" w:cstheme="minorHAnsi"/>
        </w:rPr>
      </w:pPr>
      <w:r w:rsidRPr="002E2E62">
        <w:rPr>
          <w:rFonts w:ascii="Calibri" w:eastAsiaTheme="minorHAnsi" w:hAnsi="Calibri" w:cs="Calibri"/>
        </w:rPr>
        <w:t>N’induit pas de prélèvement d’eau dans le milieu naturel.</w:t>
      </w:r>
    </w:p>
    <w:p w14:paraId="6EC67F5D" w14:textId="66624368" w:rsidR="002E2E62" w:rsidRPr="002E2E62" w:rsidRDefault="002E2E62" w:rsidP="002E2E62">
      <w:pPr>
        <w:autoSpaceDE w:val="0"/>
        <w:autoSpaceDN w:val="0"/>
        <w:adjustRightInd w:val="0"/>
        <w:rPr>
          <w:rFonts w:ascii="Calibri" w:eastAsiaTheme="minorHAnsi" w:hAnsi="Calibri" w:cs="Calibri"/>
        </w:rPr>
      </w:pPr>
      <w:r w:rsidRPr="002E2E62">
        <w:rPr>
          <w:rFonts w:ascii="Calibri" w:eastAsiaTheme="minorHAnsi" w:hAnsi="Calibri" w:cs="Calibri"/>
        </w:rPr>
        <w:t>Le projet de la société IMANY </w:t>
      </w:r>
      <w:r>
        <w:rPr>
          <w:rFonts w:ascii="Calibri" w:eastAsiaTheme="minorHAnsi" w:hAnsi="Calibri" w:cs="Calibri"/>
        </w:rPr>
        <w:t>est donc compatible avec ce SDAGE.</w:t>
      </w:r>
    </w:p>
    <w:p w14:paraId="581D1549" w14:textId="77777777" w:rsidR="002E2E62" w:rsidRPr="002E2E62" w:rsidRDefault="002E2E62" w:rsidP="002E2E62">
      <w:pPr>
        <w:pStyle w:val="Paragraphedeliste"/>
        <w:spacing w:before="120" w:after="120"/>
        <w:ind w:left="644"/>
        <w:jc w:val="both"/>
        <w:rPr>
          <w:rFonts w:asciiTheme="minorHAnsi" w:hAnsiTheme="minorHAnsi" w:cstheme="minorHAnsi"/>
        </w:rPr>
      </w:pPr>
    </w:p>
    <w:p w14:paraId="7DC939C0" w14:textId="35D68B16" w:rsidR="002E2E62" w:rsidRPr="002E2E62" w:rsidRDefault="002E2E62" w:rsidP="002E2E62">
      <w:pPr>
        <w:pStyle w:val="Titre4"/>
        <w:rPr>
          <w:szCs w:val="22"/>
        </w:rPr>
      </w:pPr>
      <w:r w:rsidRPr="002E2E62">
        <w:t>Schéma d'Aménagement et de la Gestion des Eaux (SAGE)</w:t>
      </w:r>
    </w:p>
    <w:p w14:paraId="3CDA7865" w14:textId="77777777" w:rsidR="002E2E62" w:rsidRDefault="002E2E62" w:rsidP="002E2E62">
      <w:pPr>
        <w:autoSpaceDE w:val="0"/>
        <w:autoSpaceDN w:val="0"/>
        <w:adjustRightInd w:val="0"/>
        <w:rPr>
          <w:rFonts w:ascii="Calibri" w:eastAsiaTheme="minorHAnsi" w:hAnsi="Calibri" w:cs="Calibri"/>
        </w:rPr>
      </w:pPr>
    </w:p>
    <w:p w14:paraId="5B5130B8" w14:textId="77777777" w:rsidR="002E2E62" w:rsidRDefault="002E2E62" w:rsidP="002E2E62">
      <w:pPr>
        <w:autoSpaceDE w:val="0"/>
        <w:autoSpaceDN w:val="0"/>
        <w:adjustRightInd w:val="0"/>
        <w:rPr>
          <w:rFonts w:ascii="Calibri" w:eastAsiaTheme="minorHAnsi" w:hAnsi="Calibri" w:cs="Calibri"/>
        </w:rPr>
      </w:pPr>
    </w:p>
    <w:p w14:paraId="3CB01CA5" w14:textId="16BFE8C3" w:rsidR="002E2E62" w:rsidRDefault="002E2E62" w:rsidP="002E2E62">
      <w:pPr>
        <w:autoSpaceDE w:val="0"/>
        <w:autoSpaceDN w:val="0"/>
        <w:adjustRightInd w:val="0"/>
        <w:rPr>
          <w:rFonts w:ascii="Calibri" w:eastAsiaTheme="minorHAnsi" w:hAnsi="Calibri" w:cs="Calibri"/>
        </w:rPr>
      </w:pPr>
      <w:r>
        <w:rPr>
          <w:rFonts w:ascii="Calibri" w:eastAsiaTheme="minorHAnsi" w:hAnsi="Calibri" w:cs="Calibri"/>
        </w:rPr>
        <w:lastRenderedPageBreak/>
        <w:t>Le Schéma d’Aménagement et de Gestion des Eaux (SAGE) est un document de planification élaboré de manière collective, pour un périmètre hydrographique cohérent. Il fixe des objectifs généraux d’utilisation, de mise en valeur, de protection quantitative et qualitative de la ressource en eau.</w:t>
      </w:r>
    </w:p>
    <w:p w14:paraId="02AE8FA4" w14:textId="11CD5FB5" w:rsidR="002E2E62" w:rsidRPr="002E2E62" w:rsidRDefault="002E2E62" w:rsidP="00061A67">
      <w:pPr>
        <w:spacing w:before="120" w:after="120"/>
        <w:jc w:val="both"/>
        <w:rPr>
          <w:rFonts w:ascii="Calibri" w:eastAsiaTheme="minorHAnsi" w:hAnsi="Calibri" w:cs="Calibri"/>
        </w:rPr>
      </w:pPr>
      <w:r w:rsidRPr="002E2E62">
        <w:rPr>
          <w:rFonts w:ascii="Calibri" w:eastAsiaTheme="minorHAnsi" w:hAnsi="Calibri" w:cs="Calibri"/>
        </w:rPr>
        <w:t>Au vu de la carte ci-dessous</w:t>
      </w:r>
      <w:r>
        <w:rPr>
          <w:rFonts w:ascii="Calibri" w:eastAsiaTheme="minorHAnsi" w:hAnsi="Calibri" w:cs="Calibri"/>
        </w:rPr>
        <w:t xml:space="preserve"> représentant les schémas d’aménagement et de gestion des eaux (SAGE) du bassin Seine-Normandie dont dépend le projet de la société IMANY, datant de décembre 2019, ce projet n’est pas couvert par un SAGE.</w:t>
      </w:r>
    </w:p>
    <w:p w14:paraId="0C0B1921" w14:textId="77777777" w:rsidR="00061A67" w:rsidRDefault="00061A67" w:rsidP="00061A67">
      <w:pPr>
        <w:spacing w:before="120" w:after="120"/>
        <w:jc w:val="both"/>
      </w:pPr>
    </w:p>
    <w:p w14:paraId="20CFC28F" w14:textId="77777777" w:rsidR="00061A67" w:rsidRDefault="00061A67" w:rsidP="00061A67">
      <w:pPr>
        <w:spacing w:before="120" w:after="120"/>
        <w:jc w:val="both"/>
      </w:pPr>
    </w:p>
    <w:p w14:paraId="5D67AAEF" w14:textId="77777777" w:rsidR="00061A67" w:rsidRDefault="00061A67" w:rsidP="00061A67">
      <w:pPr>
        <w:spacing w:before="120" w:after="120"/>
        <w:jc w:val="both"/>
      </w:pPr>
      <w:r>
        <w:rPr>
          <w:noProof/>
        </w:rPr>
        <w:drawing>
          <wp:inline distT="0" distB="0" distL="0" distR="0" wp14:anchorId="7C2C46B3" wp14:editId="49A13325">
            <wp:extent cx="5760720" cy="4073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73525"/>
                    </a:xfrm>
                    <a:prstGeom prst="rect">
                      <a:avLst/>
                    </a:prstGeom>
                    <a:noFill/>
                    <a:ln>
                      <a:noFill/>
                    </a:ln>
                  </pic:spPr>
                </pic:pic>
              </a:graphicData>
            </a:graphic>
          </wp:inline>
        </w:drawing>
      </w:r>
    </w:p>
    <w:p w14:paraId="08812DF7" w14:textId="77777777" w:rsidR="002E2E62" w:rsidRDefault="002E2E62" w:rsidP="00061A67">
      <w:pPr>
        <w:spacing w:before="120" w:after="120"/>
        <w:jc w:val="both"/>
      </w:pPr>
    </w:p>
    <w:p w14:paraId="7E85D54E" w14:textId="77777777" w:rsidR="002E2E62" w:rsidRDefault="002E2E62" w:rsidP="00061A67">
      <w:pPr>
        <w:spacing w:before="120" w:after="120"/>
        <w:jc w:val="both"/>
      </w:pPr>
    </w:p>
    <w:p w14:paraId="2FCAB338" w14:textId="4D8D69CE" w:rsidR="002E2E62" w:rsidRDefault="002E2E62" w:rsidP="002E2E62">
      <w:pPr>
        <w:pStyle w:val="Titre4"/>
      </w:pPr>
      <w:r>
        <w:t xml:space="preserve">Plan </w:t>
      </w:r>
      <w:r w:rsidR="008362D5">
        <w:t xml:space="preserve">régional </w:t>
      </w:r>
      <w:r>
        <w:t>de prévention</w:t>
      </w:r>
      <w:r w:rsidR="008362D5">
        <w:t xml:space="preserve"> et de gestion</w:t>
      </w:r>
      <w:r>
        <w:t xml:space="preserve"> des déchets</w:t>
      </w:r>
    </w:p>
    <w:p w14:paraId="2415B43F" w14:textId="77777777" w:rsidR="002E2E62" w:rsidRPr="002E2E62" w:rsidRDefault="002E2E62" w:rsidP="002E2E62">
      <w:pPr>
        <w:rPr>
          <w:lang w:eastAsia="fr-FR"/>
        </w:rPr>
      </w:pPr>
    </w:p>
    <w:p w14:paraId="6D157B7F" w14:textId="1FEA0C12" w:rsidR="00061A67" w:rsidRDefault="002E2E62" w:rsidP="008362D5">
      <w:pPr>
        <w:autoSpaceDE w:val="0"/>
        <w:autoSpaceDN w:val="0"/>
        <w:adjustRightInd w:val="0"/>
        <w:rPr>
          <w:rFonts w:asciiTheme="minorHAnsi" w:hAnsiTheme="minorHAnsi" w:cstheme="minorHAnsi"/>
        </w:rPr>
      </w:pPr>
      <w:r w:rsidRPr="008362D5">
        <w:rPr>
          <w:rFonts w:asciiTheme="minorHAnsi" w:eastAsiaTheme="minorHAnsi" w:hAnsiTheme="minorHAnsi" w:cstheme="minorHAnsi"/>
        </w:rPr>
        <w:t>Le</w:t>
      </w:r>
      <w:r w:rsidR="008362D5" w:rsidRPr="008362D5">
        <w:rPr>
          <w:rFonts w:asciiTheme="minorHAnsi" w:eastAsiaTheme="minorHAnsi" w:hAnsiTheme="minorHAnsi" w:cstheme="minorHAnsi"/>
        </w:rPr>
        <w:t xml:space="preserve"> plan</w:t>
      </w:r>
      <w:r w:rsidRPr="008362D5">
        <w:rPr>
          <w:rFonts w:asciiTheme="minorHAnsi" w:eastAsiaTheme="minorHAnsi" w:hAnsiTheme="minorHAnsi" w:cstheme="minorHAnsi"/>
        </w:rPr>
        <w:t xml:space="preserve"> </w:t>
      </w:r>
      <w:r w:rsidR="008362D5" w:rsidRPr="008362D5">
        <w:rPr>
          <w:rFonts w:asciiTheme="minorHAnsi" w:hAnsiTheme="minorHAnsi" w:cstheme="minorHAnsi"/>
        </w:rPr>
        <w:t xml:space="preserve">régional de prévention et de gestion des déchets est désormais intégré dans le Schéma </w:t>
      </w:r>
      <w:r w:rsidR="008362D5">
        <w:rPr>
          <w:rFonts w:asciiTheme="minorHAnsi" w:hAnsiTheme="minorHAnsi" w:cstheme="minorHAnsi"/>
        </w:rPr>
        <w:t>r</w:t>
      </w:r>
      <w:r w:rsidR="008362D5" w:rsidRPr="008362D5">
        <w:rPr>
          <w:rFonts w:asciiTheme="minorHAnsi" w:hAnsiTheme="minorHAnsi" w:cstheme="minorHAnsi"/>
          <w:color w:val="2B2929"/>
          <w:shd w:val="clear" w:color="auto" w:fill="FFFFFF"/>
        </w:rPr>
        <w:t xml:space="preserve">égional d’Aménagement, de Développement Durable et d’Egalité des Territoires ou </w:t>
      </w:r>
      <w:r w:rsidR="008362D5" w:rsidRPr="008362D5">
        <w:rPr>
          <w:rFonts w:asciiTheme="minorHAnsi" w:hAnsiTheme="minorHAnsi" w:cstheme="minorHAnsi"/>
        </w:rPr>
        <w:t>SRADDET Grand Est</w:t>
      </w:r>
      <w:r w:rsidR="002A4772">
        <w:rPr>
          <w:rFonts w:asciiTheme="minorHAnsi" w:hAnsiTheme="minorHAnsi" w:cstheme="minorHAnsi"/>
        </w:rPr>
        <w:t xml:space="preserve">. </w:t>
      </w:r>
    </w:p>
    <w:p w14:paraId="6C2FADD2" w14:textId="58249387" w:rsidR="0099195B" w:rsidRDefault="008362D5" w:rsidP="008362D5">
      <w:pPr>
        <w:autoSpaceDE w:val="0"/>
        <w:autoSpaceDN w:val="0"/>
        <w:adjustRightInd w:val="0"/>
        <w:rPr>
          <w:rFonts w:asciiTheme="minorHAnsi" w:hAnsiTheme="minorHAnsi" w:cstheme="minorHAnsi"/>
        </w:rPr>
      </w:pPr>
      <w:r>
        <w:rPr>
          <w:rFonts w:asciiTheme="minorHAnsi" w:hAnsiTheme="minorHAnsi" w:cstheme="minorHAnsi"/>
        </w:rPr>
        <w:t xml:space="preserve">Ce schéma est </w:t>
      </w:r>
      <w:r w:rsidRPr="008362D5">
        <w:rPr>
          <w:rFonts w:asciiTheme="minorHAnsi" w:hAnsiTheme="minorHAnsi" w:cstheme="minorHAnsi"/>
        </w:rPr>
        <w:t>une stratégie à horizon 2050 pour l’aménagement et le développement durable du Grand Est</w:t>
      </w:r>
      <w:r>
        <w:rPr>
          <w:rFonts w:asciiTheme="minorHAnsi" w:hAnsiTheme="minorHAnsi" w:cstheme="minorHAnsi"/>
        </w:rPr>
        <w:t>. Elle se compose de 30 objectifs qui convergent autour de 2 axes :</w:t>
      </w:r>
    </w:p>
    <w:p w14:paraId="20AA70EB" w14:textId="09A664AA" w:rsidR="008362D5" w:rsidRPr="008362D5" w:rsidRDefault="008362D5" w:rsidP="008362D5">
      <w:pPr>
        <w:pStyle w:val="Paragraphedeliste"/>
        <w:numPr>
          <w:ilvl w:val="0"/>
          <w:numId w:val="2"/>
        </w:numPr>
        <w:autoSpaceDE w:val="0"/>
        <w:autoSpaceDN w:val="0"/>
        <w:adjustRightInd w:val="0"/>
        <w:rPr>
          <w:rFonts w:asciiTheme="minorHAnsi" w:hAnsiTheme="minorHAnsi" w:cstheme="minorHAnsi"/>
        </w:rPr>
      </w:pPr>
      <w:r w:rsidRPr="008362D5">
        <w:rPr>
          <w:rFonts w:asciiTheme="minorHAnsi" w:hAnsiTheme="minorHAnsi" w:cstheme="minorHAnsi"/>
        </w:rPr>
        <w:t>Le premier axe porte l’ambition d’un Grand Est qui fait face au bouleversement climatique en osant changer de modèle de développement.</w:t>
      </w:r>
    </w:p>
    <w:p w14:paraId="0E3C8C72" w14:textId="5B013F66" w:rsidR="008362D5" w:rsidRDefault="008362D5" w:rsidP="008362D5">
      <w:pPr>
        <w:pStyle w:val="Paragraphedeliste"/>
        <w:numPr>
          <w:ilvl w:val="0"/>
          <w:numId w:val="2"/>
        </w:numPr>
        <w:autoSpaceDE w:val="0"/>
        <w:autoSpaceDN w:val="0"/>
        <w:adjustRightInd w:val="0"/>
        <w:rPr>
          <w:rFonts w:asciiTheme="minorHAnsi" w:hAnsiTheme="minorHAnsi" w:cstheme="minorHAnsi"/>
        </w:rPr>
      </w:pPr>
      <w:r w:rsidRPr="008362D5">
        <w:rPr>
          <w:rFonts w:asciiTheme="minorHAnsi" w:hAnsiTheme="minorHAnsi" w:cstheme="minorHAnsi"/>
        </w:rPr>
        <w:t>Le second axe vise à dépasser les frontières et renforcer les cohésions, pour un espace européen connecté.</w:t>
      </w:r>
    </w:p>
    <w:p w14:paraId="47A20AE1" w14:textId="07DA4A74" w:rsidR="008362D5" w:rsidRDefault="002A4772" w:rsidP="008362D5">
      <w:pPr>
        <w:autoSpaceDE w:val="0"/>
        <w:autoSpaceDN w:val="0"/>
        <w:adjustRightInd w:val="0"/>
        <w:rPr>
          <w:rFonts w:asciiTheme="minorHAnsi" w:hAnsiTheme="minorHAnsi" w:cstheme="minorHAnsi"/>
        </w:rPr>
      </w:pPr>
      <w:r>
        <w:rPr>
          <w:rFonts w:asciiTheme="minorHAnsi" w:hAnsiTheme="minorHAnsi" w:cstheme="minorHAnsi"/>
        </w:rPr>
        <w:t xml:space="preserve">La version en ligne sur le site de la région </w:t>
      </w:r>
      <w:r w:rsidR="005048E5">
        <w:rPr>
          <w:rFonts w:asciiTheme="minorHAnsi" w:hAnsiTheme="minorHAnsi" w:cstheme="minorHAnsi"/>
        </w:rPr>
        <w:t>G</w:t>
      </w:r>
      <w:r>
        <w:rPr>
          <w:rFonts w:asciiTheme="minorHAnsi" w:hAnsiTheme="minorHAnsi" w:cstheme="minorHAnsi"/>
        </w:rPr>
        <w:t>rand</w:t>
      </w:r>
      <w:r w:rsidR="005048E5">
        <w:rPr>
          <w:rFonts w:asciiTheme="minorHAnsi" w:hAnsiTheme="minorHAnsi" w:cstheme="minorHAnsi"/>
        </w:rPr>
        <w:t xml:space="preserve"> E</w:t>
      </w:r>
      <w:r>
        <w:rPr>
          <w:rFonts w:asciiTheme="minorHAnsi" w:hAnsiTheme="minorHAnsi" w:cstheme="minorHAnsi"/>
        </w:rPr>
        <w:t xml:space="preserve">st présente le projet de l’annexe </w:t>
      </w:r>
      <w:r w:rsidR="008362D5">
        <w:rPr>
          <w:rFonts w:asciiTheme="minorHAnsi" w:hAnsiTheme="minorHAnsi" w:cstheme="minorHAnsi"/>
        </w:rPr>
        <w:t xml:space="preserve">7 </w:t>
      </w:r>
      <w:r>
        <w:rPr>
          <w:rFonts w:asciiTheme="minorHAnsi" w:hAnsiTheme="minorHAnsi" w:cstheme="minorHAnsi"/>
        </w:rPr>
        <w:t>relative au</w:t>
      </w:r>
      <w:r w:rsidR="008362D5">
        <w:rPr>
          <w:rFonts w:asciiTheme="minorHAnsi" w:hAnsiTheme="minorHAnsi" w:cstheme="minorHAnsi"/>
        </w:rPr>
        <w:t xml:space="preserve"> plan régional de prévention et de gestion des déchets</w:t>
      </w:r>
      <w:r>
        <w:rPr>
          <w:rFonts w:asciiTheme="minorHAnsi" w:hAnsiTheme="minorHAnsi" w:cstheme="minorHAnsi"/>
        </w:rPr>
        <w:t>, version datant d’octobre 2019.</w:t>
      </w:r>
    </w:p>
    <w:p w14:paraId="69B69158" w14:textId="77777777" w:rsidR="008C173B" w:rsidRDefault="008C173B" w:rsidP="008362D5">
      <w:pPr>
        <w:autoSpaceDE w:val="0"/>
        <w:autoSpaceDN w:val="0"/>
        <w:adjustRightInd w:val="0"/>
        <w:rPr>
          <w:rFonts w:asciiTheme="minorHAnsi" w:hAnsiTheme="minorHAnsi" w:cstheme="minorHAnsi"/>
        </w:rPr>
      </w:pPr>
    </w:p>
    <w:p w14:paraId="1BF2D348" w14:textId="77777777" w:rsidR="008C173B" w:rsidRPr="008C173B" w:rsidRDefault="008C173B" w:rsidP="008C173B">
      <w:pPr>
        <w:pStyle w:val="Default"/>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lastRenderedPageBreak/>
        <w:t xml:space="preserve">Le Programme National de Prévention des Déchets (PNPD) 2014-2020 définit les orientations stratégiques de la politique publique de prévention des déchets et les actions de production et de consommation durables à mettre en œuvre pour y parvenir. Il cible toutes les catégories de déchets (DMA, DAE, déchets du BTP, DD) et tous les acteurs économiques (ménages, entreprises et administrations) et prévoit 54 actions concrètes réparties en 13 axes stratégiques couvrant l’ensemble des thématiques associées à la prévention des déchets : </w:t>
      </w:r>
    </w:p>
    <w:p w14:paraId="4DA043BA"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Mobilisation des filières à responsabilité élargie du producteur (REP) ; </w:t>
      </w:r>
    </w:p>
    <w:p w14:paraId="185316DB" w14:textId="03A8AB09"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Allongement de la durée de vie et lutte contre l’obsolescence programmée ; </w:t>
      </w:r>
    </w:p>
    <w:p w14:paraId="46A092B2"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Prévention des déchets des entreprises ; </w:t>
      </w:r>
    </w:p>
    <w:p w14:paraId="192886EA"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Prévention des déchets dans le BTP ; </w:t>
      </w:r>
    </w:p>
    <w:p w14:paraId="42CC8717"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Réemploi, réparation et réutilisation (« 3R ») ; </w:t>
      </w:r>
    </w:p>
    <w:p w14:paraId="3B674D28"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 Prévention des déchets verts et gestion de proximité des biodéchets ; </w:t>
      </w:r>
    </w:p>
    <w:p w14:paraId="0507BC2B"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Lutte contre le gaspillage alimentaire ; </w:t>
      </w:r>
    </w:p>
    <w:p w14:paraId="14CA7FC9"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Actions sectorielles en faveur d’une consommation responsable ; </w:t>
      </w:r>
    </w:p>
    <w:p w14:paraId="37950468"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Outils économiques ; </w:t>
      </w:r>
    </w:p>
    <w:p w14:paraId="6AD6E112"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Sensibilisation ; </w:t>
      </w:r>
    </w:p>
    <w:p w14:paraId="508560D4"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Déploiement dans les territoires ; </w:t>
      </w:r>
    </w:p>
    <w:p w14:paraId="27E0976F" w14:textId="77777777" w:rsidR="008C173B" w:rsidRPr="008C173B" w:rsidRDefault="008C173B" w:rsidP="008C173B">
      <w:pPr>
        <w:pStyle w:val="Default"/>
        <w:numPr>
          <w:ilvl w:val="0"/>
          <w:numId w:val="2"/>
        </w:numPr>
        <w:spacing w:after="100"/>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Exemplarité dans les administrations publiques ; </w:t>
      </w:r>
    </w:p>
    <w:p w14:paraId="6E1E3ECF" w14:textId="277DDE7A" w:rsidR="008C173B" w:rsidRPr="008C173B" w:rsidRDefault="008C173B" w:rsidP="008C173B">
      <w:pPr>
        <w:pStyle w:val="Default"/>
        <w:numPr>
          <w:ilvl w:val="0"/>
          <w:numId w:val="2"/>
        </w:numPr>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 xml:space="preserve">Réduction des déchets marins. </w:t>
      </w:r>
    </w:p>
    <w:p w14:paraId="195C81F7" w14:textId="77777777" w:rsidR="008C173B" w:rsidRPr="008C173B" w:rsidRDefault="008C173B" w:rsidP="008C173B">
      <w:pPr>
        <w:pStyle w:val="Default"/>
        <w:rPr>
          <w:rFonts w:asciiTheme="minorHAnsi" w:eastAsia="Calibri" w:hAnsiTheme="minorHAnsi" w:cstheme="minorHAnsi"/>
          <w:color w:val="auto"/>
          <w:sz w:val="22"/>
          <w:szCs w:val="22"/>
        </w:rPr>
      </w:pPr>
    </w:p>
    <w:p w14:paraId="0CF29077" w14:textId="509CCD64" w:rsidR="008C173B" w:rsidRPr="008C173B" w:rsidRDefault="008C173B" w:rsidP="008C173B">
      <w:pPr>
        <w:pStyle w:val="Default"/>
        <w:rPr>
          <w:rFonts w:asciiTheme="minorHAnsi" w:eastAsia="Calibri" w:hAnsiTheme="minorHAnsi" w:cstheme="minorHAnsi"/>
          <w:color w:val="auto"/>
          <w:sz w:val="22"/>
          <w:szCs w:val="22"/>
        </w:rPr>
      </w:pPr>
      <w:r w:rsidRPr="008C173B">
        <w:rPr>
          <w:rFonts w:asciiTheme="minorHAnsi" w:eastAsia="Calibri" w:hAnsiTheme="minorHAnsi" w:cstheme="minorHAnsi"/>
          <w:color w:val="auto"/>
          <w:sz w:val="22"/>
          <w:szCs w:val="22"/>
        </w:rPr>
        <w:t>Le Plan Régional de Prévention et de Gestion des Déchets a été construit en intégrant notamment le Programme National de Prévention des Déchets 2014-2020 et les objectifs nationaux de prévention</w:t>
      </w:r>
      <w:r>
        <w:rPr>
          <w:rFonts w:asciiTheme="minorHAnsi" w:eastAsia="Calibri" w:hAnsiTheme="minorHAnsi" w:cstheme="minorHAnsi"/>
          <w:color w:val="auto"/>
          <w:sz w:val="22"/>
          <w:szCs w:val="22"/>
        </w:rPr>
        <w:t>.</w:t>
      </w:r>
      <w:r w:rsidRPr="008C173B">
        <w:rPr>
          <w:rFonts w:asciiTheme="minorHAnsi" w:eastAsia="Calibri" w:hAnsiTheme="minorHAnsi" w:cstheme="minorHAnsi"/>
          <w:color w:val="auto"/>
          <w:sz w:val="22"/>
          <w:szCs w:val="22"/>
        </w:rPr>
        <w:t xml:space="preserve"> </w:t>
      </w:r>
    </w:p>
    <w:p w14:paraId="3EB16470" w14:textId="77777777" w:rsidR="002A4772" w:rsidRDefault="002A4772" w:rsidP="008362D5">
      <w:pPr>
        <w:autoSpaceDE w:val="0"/>
        <w:autoSpaceDN w:val="0"/>
        <w:adjustRightInd w:val="0"/>
        <w:rPr>
          <w:rFonts w:asciiTheme="minorHAnsi" w:hAnsiTheme="minorHAnsi" w:cstheme="minorHAnsi"/>
        </w:rPr>
      </w:pPr>
    </w:p>
    <w:p w14:paraId="7464D3BC" w14:textId="3EE0B751" w:rsidR="00F3438F" w:rsidRDefault="008C173B" w:rsidP="00F3438F">
      <w:pPr>
        <w:autoSpaceDE w:val="0"/>
        <w:autoSpaceDN w:val="0"/>
        <w:adjustRightInd w:val="0"/>
        <w:rPr>
          <w:rFonts w:asciiTheme="minorHAnsi" w:hAnsiTheme="minorHAnsi" w:cstheme="minorHAnsi"/>
        </w:rPr>
      </w:pPr>
      <w:r>
        <w:rPr>
          <w:rFonts w:asciiTheme="minorHAnsi" w:hAnsiTheme="minorHAnsi" w:cstheme="minorHAnsi"/>
        </w:rPr>
        <w:t>L</w:t>
      </w:r>
      <w:r w:rsidR="00F3438F">
        <w:rPr>
          <w:rFonts w:asciiTheme="minorHAnsi" w:hAnsiTheme="minorHAnsi" w:cstheme="minorHAnsi"/>
        </w:rPr>
        <w:t>es déchets produits par la société IMANY seront des déchets d’emballages (cartons, plastiques, bois), des déchets métalliques, DIB en mélanges</w:t>
      </w:r>
      <w:r>
        <w:rPr>
          <w:rFonts w:asciiTheme="minorHAnsi" w:hAnsiTheme="minorHAnsi" w:cstheme="minorHAnsi"/>
        </w:rPr>
        <w:t xml:space="preserve">, </w:t>
      </w:r>
      <w:r w:rsidR="005048E5">
        <w:rPr>
          <w:rFonts w:asciiTheme="minorHAnsi" w:hAnsiTheme="minorHAnsi" w:cstheme="minorHAnsi"/>
        </w:rPr>
        <w:t xml:space="preserve">les cartouches d’encre sont recyclées via le fournisseur des photocopieurs, pour les piles et autre produits dangereux des bacs prévues </w:t>
      </w:r>
      <w:proofErr w:type="gramStart"/>
      <w:r w:rsidR="005048E5">
        <w:rPr>
          <w:rFonts w:asciiTheme="minorHAnsi" w:hAnsiTheme="minorHAnsi" w:cstheme="minorHAnsi"/>
        </w:rPr>
        <w:t>a</w:t>
      </w:r>
      <w:proofErr w:type="gramEnd"/>
      <w:r w:rsidR="005048E5">
        <w:rPr>
          <w:rFonts w:asciiTheme="minorHAnsi" w:hAnsiTheme="minorHAnsi" w:cstheme="minorHAnsi"/>
        </w:rPr>
        <w:t xml:space="preserve"> cet effet seront mis à disposition. </w:t>
      </w:r>
    </w:p>
    <w:p w14:paraId="2B437F89" w14:textId="5590D4CE" w:rsidR="008C173B" w:rsidRDefault="008C173B" w:rsidP="008C173B">
      <w:pPr>
        <w:autoSpaceDE w:val="0"/>
        <w:autoSpaceDN w:val="0"/>
        <w:adjustRightInd w:val="0"/>
        <w:rPr>
          <w:rFonts w:asciiTheme="minorHAnsi" w:hAnsiTheme="minorHAnsi" w:cstheme="minorHAnsi"/>
        </w:rPr>
      </w:pPr>
      <w:r>
        <w:rPr>
          <w:rFonts w:asciiTheme="minorHAnsi" w:hAnsiTheme="minorHAnsi" w:cstheme="minorHAnsi"/>
        </w:rPr>
        <w:t>La quantité estimée de déchets</w:t>
      </w:r>
      <w:r w:rsidR="00000D25">
        <w:rPr>
          <w:rFonts w:asciiTheme="minorHAnsi" w:hAnsiTheme="minorHAnsi" w:cstheme="minorHAnsi"/>
        </w:rPr>
        <w:t xml:space="preserve"> non</w:t>
      </w:r>
      <w:r>
        <w:rPr>
          <w:rFonts w:asciiTheme="minorHAnsi" w:hAnsiTheme="minorHAnsi" w:cstheme="minorHAnsi"/>
        </w:rPr>
        <w:t xml:space="preserve"> dangereux est de 360 m³ par an.</w:t>
      </w:r>
    </w:p>
    <w:p w14:paraId="78A5A3C1" w14:textId="77777777" w:rsidR="008C173B" w:rsidRDefault="008C173B" w:rsidP="008C173B">
      <w:pPr>
        <w:autoSpaceDE w:val="0"/>
        <w:autoSpaceDN w:val="0"/>
        <w:adjustRightInd w:val="0"/>
        <w:rPr>
          <w:rFonts w:asciiTheme="minorHAnsi" w:hAnsiTheme="minorHAnsi" w:cstheme="minorHAnsi"/>
        </w:rPr>
      </w:pPr>
    </w:p>
    <w:p w14:paraId="27F53DD4" w14:textId="5DAB0346" w:rsidR="00F3438F" w:rsidRDefault="008C173B" w:rsidP="008C173B">
      <w:pPr>
        <w:autoSpaceDE w:val="0"/>
        <w:autoSpaceDN w:val="0"/>
        <w:adjustRightInd w:val="0"/>
        <w:rPr>
          <w:rFonts w:asciiTheme="minorHAnsi" w:hAnsiTheme="minorHAnsi" w:cstheme="minorHAnsi"/>
        </w:rPr>
      </w:pPr>
      <w:r>
        <w:rPr>
          <w:rFonts w:asciiTheme="minorHAnsi" w:hAnsiTheme="minorHAnsi" w:cstheme="minorHAnsi"/>
        </w:rPr>
        <w:t>En matière de prévention, la société IMANY u</w:t>
      </w:r>
      <w:r w:rsidR="00F3438F">
        <w:rPr>
          <w:rFonts w:asciiTheme="minorHAnsi" w:hAnsiTheme="minorHAnsi" w:cstheme="minorHAnsi"/>
        </w:rPr>
        <w:t>tilis</w:t>
      </w:r>
      <w:r>
        <w:rPr>
          <w:rFonts w:asciiTheme="minorHAnsi" w:hAnsiTheme="minorHAnsi" w:cstheme="minorHAnsi"/>
        </w:rPr>
        <w:t>e</w:t>
      </w:r>
      <w:r w:rsidR="00F3438F">
        <w:rPr>
          <w:rFonts w:asciiTheme="minorHAnsi" w:hAnsiTheme="minorHAnsi" w:cstheme="minorHAnsi"/>
        </w:rPr>
        <w:t xml:space="preserve"> de matériaux d’emballages</w:t>
      </w:r>
      <w:r w:rsidR="00D763C7">
        <w:rPr>
          <w:rFonts w:asciiTheme="minorHAnsi" w:hAnsiTheme="minorHAnsi" w:cstheme="minorHAnsi"/>
        </w:rPr>
        <w:t xml:space="preserve"> à partir de matières recyclé</w:t>
      </w:r>
      <w:r>
        <w:rPr>
          <w:rFonts w:asciiTheme="minorHAnsi" w:hAnsiTheme="minorHAnsi" w:cstheme="minorHAnsi"/>
        </w:rPr>
        <w:t>e</w:t>
      </w:r>
      <w:r w:rsidR="00D763C7">
        <w:rPr>
          <w:rFonts w:asciiTheme="minorHAnsi" w:hAnsiTheme="minorHAnsi" w:cstheme="minorHAnsi"/>
        </w:rPr>
        <w:t xml:space="preserve">s </w:t>
      </w:r>
      <w:r>
        <w:rPr>
          <w:rFonts w:asciiTheme="minorHAnsi" w:hAnsiTheme="minorHAnsi" w:cstheme="minorHAnsi"/>
        </w:rPr>
        <w:t>et qui sont recyclables.</w:t>
      </w:r>
    </w:p>
    <w:p w14:paraId="538FD807" w14:textId="77777777" w:rsidR="005048E5" w:rsidRDefault="005048E5" w:rsidP="00D763C7">
      <w:pPr>
        <w:autoSpaceDE w:val="0"/>
        <w:autoSpaceDN w:val="0"/>
        <w:adjustRightInd w:val="0"/>
        <w:rPr>
          <w:rFonts w:asciiTheme="minorHAnsi" w:hAnsiTheme="minorHAnsi" w:cstheme="minorHAnsi"/>
        </w:rPr>
      </w:pPr>
    </w:p>
    <w:p w14:paraId="691108F4" w14:textId="23771C81" w:rsidR="00D763C7" w:rsidRDefault="008C173B" w:rsidP="00D763C7">
      <w:pPr>
        <w:autoSpaceDE w:val="0"/>
        <w:autoSpaceDN w:val="0"/>
        <w:adjustRightInd w:val="0"/>
        <w:rPr>
          <w:rFonts w:asciiTheme="minorHAnsi" w:hAnsiTheme="minorHAnsi" w:cstheme="minorHAnsi"/>
        </w:rPr>
      </w:pPr>
      <w:r>
        <w:rPr>
          <w:rFonts w:asciiTheme="minorHAnsi" w:hAnsiTheme="minorHAnsi" w:cstheme="minorHAnsi"/>
        </w:rPr>
        <w:t xml:space="preserve">Les déchets seront stockés dans des contenant adaptés à leurs propriétés en attendant leur </w:t>
      </w:r>
      <w:r w:rsidR="00FE0E7C">
        <w:rPr>
          <w:rFonts w:asciiTheme="minorHAnsi" w:hAnsiTheme="minorHAnsi" w:cstheme="minorHAnsi"/>
        </w:rPr>
        <w:t xml:space="preserve">enlèvement puis </w:t>
      </w:r>
      <w:r>
        <w:rPr>
          <w:rFonts w:asciiTheme="minorHAnsi" w:hAnsiTheme="minorHAnsi" w:cstheme="minorHAnsi"/>
        </w:rPr>
        <w:t>valorisation. Une presse à cartons ainsi qu’une presse à plastique seront installées sur le site.</w:t>
      </w:r>
    </w:p>
    <w:p w14:paraId="5F9C763C" w14:textId="3040C7C4" w:rsidR="00D763C7" w:rsidRDefault="00FE0E7C" w:rsidP="00D763C7">
      <w:pPr>
        <w:autoSpaceDE w:val="0"/>
        <w:autoSpaceDN w:val="0"/>
        <w:adjustRightInd w:val="0"/>
        <w:rPr>
          <w:rFonts w:asciiTheme="minorHAnsi" w:hAnsiTheme="minorHAnsi" w:cstheme="minorHAnsi"/>
        </w:rPr>
      </w:pPr>
      <w:r w:rsidRPr="00FE0E7C">
        <w:rPr>
          <w:rFonts w:asciiTheme="minorHAnsi" w:hAnsiTheme="minorHAnsi" w:cstheme="minorHAnsi"/>
        </w:rPr>
        <w:t>Des points de collecte sont répartis dans les ateliers, notamment pour ce qui concerne la collecte des déchets métalliques, la collecte des DIB (poubelles), la collecte du carton</w:t>
      </w:r>
      <w:r w:rsidR="00000D25">
        <w:rPr>
          <w:rFonts w:asciiTheme="minorHAnsi" w:hAnsiTheme="minorHAnsi" w:cstheme="minorHAnsi"/>
        </w:rPr>
        <w:t>.</w:t>
      </w:r>
    </w:p>
    <w:p w14:paraId="3AA1734A" w14:textId="77777777" w:rsidR="00D763C7" w:rsidRPr="001A34E0" w:rsidRDefault="00D763C7" w:rsidP="00D763C7">
      <w:pPr>
        <w:jc w:val="both"/>
      </w:pPr>
    </w:p>
    <w:p w14:paraId="5ED0BDB7" w14:textId="77777777" w:rsidR="00D763C7" w:rsidRPr="00FE0E7C" w:rsidRDefault="00D763C7" w:rsidP="00D763C7">
      <w:pPr>
        <w:jc w:val="both"/>
        <w:rPr>
          <w:rFonts w:asciiTheme="minorHAnsi" w:hAnsiTheme="minorHAnsi" w:cstheme="minorHAnsi"/>
        </w:rPr>
      </w:pPr>
      <w:r w:rsidRPr="00FE0E7C">
        <w:rPr>
          <w:rFonts w:asciiTheme="minorHAnsi" w:hAnsiTheme="minorHAnsi" w:cstheme="minorHAnsi"/>
        </w:rPr>
        <w:t>La réglementation exige que les entreprises transportant les déchets soient déclarées en Préfecture au-delà de certaines quantités transportées (100 kg pour les déchets dangereux et 500 kg pour les déchets non dangereux).</w:t>
      </w:r>
    </w:p>
    <w:p w14:paraId="090AFB89" w14:textId="77777777" w:rsidR="00D763C7" w:rsidRPr="00FE0E7C" w:rsidRDefault="00D763C7" w:rsidP="00D763C7">
      <w:pPr>
        <w:jc w:val="both"/>
        <w:rPr>
          <w:rFonts w:asciiTheme="minorHAnsi" w:hAnsiTheme="minorHAnsi" w:cstheme="minorHAnsi"/>
        </w:rPr>
      </w:pPr>
      <w:r w:rsidRPr="00FE0E7C">
        <w:rPr>
          <w:rFonts w:asciiTheme="minorHAnsi" w:hAnsiTheme="minorHAnsi" w:cstheme="minorHAnsi"/>
        </w:rPr>
        <w:t>De même, les entreprises éliminatrices doivent disposer d'un arrêté préfectoral d'élimination et d'un agrément.</w:t>
      </w:r>
    </w:p>
    <w:p w14:paraId="05607962" w14:textId="0D0A7B24" w:rsidR="00D763C7" w:rsidRPr="00FE0E7C" w:rsidRDefault="00D763C7" w:rsidP="00D763C7">
      <w:pPr>
        <w:jc w:val="both"/>
        <w:rPr>
          <w:rFonts w:asciiTheme="minorHAnsi" w:hAnsiTheme="minorHAnsi" w:cstheme="minorHAnsi"/>
        </w:rPr>
      </w:pPr>
      <w:r w:rsidRPr="00FE0E7C">
        <w:rPr>
          <w:rFonts w:asciiTheme="minorHAnsi" w:hAnsiTheme="minorHAnsi" w:cstheme="minorHAnsi"/>
        </w:rPr>
        <w:t xml:space="preserve">De ce fait, la société </w:t>
      </w:r>
      <w:r w:rsidR="00FE0E7C" w:rsidRPr="00FE0E7C">
        <w:rPr>
          <w:rFonts w:asciiTheme="minorHAnsi" w:hAnsiTheme="minorHAnsi" w:cstheme="minorHAnsi"/>
        </w:rPr>
        <w:t>IMANY</w:t>
      </w:r>
      <w:r w:rsidRPr="00FE0E7C">
        <w:rPr>
          <w:rFonts w:asciiTheme="minorHAnsi" w:hAnsiTheme="minorHAnsi" w:cstheme="minorHAnsi"/>
        </w:rPr>
        <w:t xml:space="preserve"> vérifie</w:t>
      </w:r>
      <w:r w:rsidR="00FE0E7C" w:rsidRPr="00FE0E7C">
        <w:rPr>
          <w:rFonts w:asciiTheme="minorHAnsi" w:hAnsiTheme="minorHAnsi" w:cstheme="minorHAnsi"/>
        </w:rPr>
        <w:t>ra</w:t>
      </w:r>
      <w:r w:rsidRPr="00FE0E7C">
        <w:rPr>
          <w:rFonts w:asciiTheme="minorHAnsi" w:hAnsiTheme="minorHAnsi" w:cstheme="minorHAnsi"/>
        </w:rPr>
        <w:t>, avant chaque signature de contrat, que le prestataire retenu dispose de</w:t>
      </w:r>
      <w:r w:rsidR="00FE0E7C">
        <w:rPr>
          <w:rFonts w:asciiTheme="minorHAnsi" w:hAnsiTheme="minorHAnsi" w:cstheme="minorHAnsi"/>
        </w:rPr>
        <w:t>s</w:t>
      </w:r>
      <w:r w:rsidRPr="00FE0E7C">
        <w:rPr>
          <w:rFonts w:asciiTheme="minorHAnsi" w:hAnsiTheme="minorHAnsi" w:cstheme="minorHAnsi"/>
        </w:rPr>
        <w:t xml:space="preserve"> actes administratifs</w:t>
      </w:r>
      <w:r w:rsidR="00FE0E7C">
        <w:rPr>
          <w:rFonts w:asciiTheme="minorHAnsi" w:hAnsiTheme="minorHAnsi" w:cstheme="minorHAnsi"/>
        </w:rPr>
        <w:t xml:space="preserve"> concernés.</w:t>
      </w:r>
    </w:p>
    <w:p w14:paraId="611D6A6F" w14:textId="77777777" w:rsidR="00D763C7" w:rsidRPr="001A34E0" w:rsidRDefault="00D763C7" w:rsidP="00D763C7"/>
    <w:p w14:paraId="6434CFCA" w14:textId="77777777" w:rsidR="00D763C7" w:rsidRPr="001A34E0" w:rsidRDefault="00D763C7" w:rsidP="00D763C7">
      <w:pPr>
        <w:jc w:val="both"/>
      </w:pPr>
    </w:p>
    <w:p w14:paraId="591455AB" w14:textId="106A0741" w:rsidR="00D763C7" w:rsidRDefault="00D763C7" w:rsidP="00D763C7">
      <w:pPr>
        <w:jc w:val="both"/>
        <w:rPr>
          <w:rFonts w:asciiTheme="minorHAnsi" w:hAnsiTheme="minorHAnsi" w:cstheme="minorHAnsi"/>
        </w:rPr>
      </w:pPr>
      <w:r w:rsidRPr="005048E5">
        <w:rPr>
          <w:rFonts w:asciiTheme="minorHAnsi" w:hAnsiTheme="minorHAnsi" w:cstheme="minorHAnsi"/>
        </w:rPr>
        <w:lastRenderedPageBreak/>
        <w:t>Le livre V – Titre IV du Code de l'Environnement (articles R.543-66 à 72) prévoit l'obligation, pour les entreprises qui produisent un volume de déchets d'emballages supérieur à 1 100 litres par semaine, d'en assurer ou d'en faire assurer la valorisation par réemploi, recyclage ou valorisation thermique.</w:t>
      </w:r>
    </w:p>
    <w:p w14:paraId="4EA50514" w14:textId="2BC0C082" w:rsidR="005048E5" w:rsidRDefault="005048E5" w:rsidP="00D763C7">
      <w:pPr>
        <w:jc w:val="both"/>
        <w:rPr>
          <w:rFonts w:asciiTheme="minorHAnsi" w:hAnsiTheme="minorHAnsi" w:cstheme="minorHAnsi"/>
        </w:rPr>
      </w:pPr>
    </w:p>
    <w:p w14:paraId="1CA618D1" w14:textId="087C8A4D" w:rsidR="005048E5" w:rsidRDefault="001618DA" w:rsidP="00D763C7">
      <w:pPr>
        <w:jc w:val="both"/>
        <w:rPr>
          <w:rFonts w:asciiTheme="minorHAnsi" w:hAnsiTheme="minorHAnsi" w:cstheme="minorHAnsi"/>
        </w:rPr>
      </w:pPr>
      <w:r>
        <w:rPr>
          <w:rFonts w:asciiTheme="minorHAnsi" w:hAnsiTheme="minorHAnsi" w:cstheme="minorHAnsi"/>
        </w:rPr>
        <w:t>Depuis Janvier</w:t>
      </w:r>
      <w:r w:rsidR="005048E5">
        <w:rPr>
          <w:rFonts w:asciiTheme="minorHAnsi" w:hAnsiTheme="minorHAnsi" w:cstheme="minorHAnsi"/>
        </w:rPr>
        <w:t xml:space="preserve"> 2020</w:t>
      </w:r>
      <w:r>
        <w:rPr>
          <w:rFonts w:asciiTheme="minorHAnsi" w:hAnsiTheme="minorHAnsi" w:cstheme="minorHAnsi"/>
        </w:rPr>
        <w:t>, Imany</w:t>
      </w:r>
      <w:r w:rsidR="005048E5">
        <w:rPr>
          <w:rFonts w:asciiTheme="minorHAnsi" w:hAnsiTheme="minorHAnsi" w:cstheme="minorHAnsi"/>
        </w:rPr>
        <w:t xml:space="preserve"> </w:t>
      </w:r>
      <w:r>
        <w:rPr>
          <w:rFonts w:asciiTheme="minorHAnsi" w:hAnsiTheme="minorHAnsi" w:cstheme="minorHAnsi"/>
        </w:rPr>
        <w:t>via ses prestataires</w:t>
      </w:r>
      <w:r w:rsidR="005048E5">
        <w:rPr>
          <w:rFonts w:asciiTheme="minorHAnsi" w:hAnsiTheme="minorHAnsi" w:cstheme="minorHAnsi"/>
        </w:rPr>
        <w:t xml:space="preserve">, s’est engagé dans une politique de revalorisation de ces déchets. </w:t>
      </w:r>
    </w:p>
    <w:p w14:paraId="7C27606D" w14:textId="77777777" w:rsidR="00D763C7" w:rsidRPr="001A34E0" w:rsidRDefault="00D763C7" w:rsidP="00D763C7">
      <w:pPr>
        <w:jc w:val="both"/>
      </w:pPr>
    </w:p>
    <w:p w14:paraId="297FFE61" w14:textId="403C7761" w:rsidR="00D763C7" w:rsidRPr="00D763C7" w:rsidRDefault="00D763C7" w:rsidP="00000D25">
      <w:pPr>
        <w:jc w:val="both"/>
        <w:rPr>
          <w:rFonts w:asciiTheme="minorHAnsi" w:hAnsiTheme="minorHAnsi" w:cstheme="minorHAnsi"/>
        </w:rPr>
      </w:pPr>
      <w:r w:rsidRPr="00000D25">
        <w:rPr>
          <w:rFonts w:asciiTheme="minorHAnsi" w:hAnsiTheme="minorHAnsi" w:cstheme="minorHAnsi"/>
        </w:rPr>
        <w:t>La majorité des déchets générés suit un</w:t>
      </w:r>
      <w:bookmarkStart w:id="1" w:name="_GoBack"/>
      <w:bookmarkEnd w:id="1"/>
      <w:r w:rsidRPr="00000D25">
        <w:rPr>
          <w:rFonts w:asciiTheme="minorHAnsi" w:hAnsiTheme="minorHAnsi" w:cstheme="minorHAnsi"/>
        </w:rPr>
        <w:t xml:space="preserve">e filière de valorisation ou de recyclage. </w:t>
      </w:r>
    </w:p>
    <w:sectPr w:rsidR="00D763C7" w:rsidRPr="00D76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46F3"/>
    <w:multiLevelType w:val="multilevel"/>
    <w:tmpl w:val="7792B9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e1"/>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39576B6"/>
    <w:multiLevelType w:val="hybridMultilevel"/>
    <w:tmpl w:val="3A845F54"/>
    <w:lvl w:ilvl="0" w:tplc="1610AC70">
      <w:numFmt w:val="bullet"/>
      <w:lvlText w:val="-"/>
      <w:lvlJc w:val="left"/>
      <w:pPr>
        <w:tabs>
          <w:tab w:val="num" w:pos="644"/>
        </w:tabs>
        <w:ind w:left="644" w:hanging="360"/>
      </w:pPr>
      <w:rPr>
        <w:rFonts w:ascii="Times New Roman" w:eastAsia="Times New Roman" w:hAnsi="Times New Roman" w:cs="Times New Roman" w:hint="default"/>
      </w:rPr>
    </w:lvl>
    <w:lvl w:ilvl="1" w:tplc="040C0001">
      <w:start w:val="1"/>
      <w:numFmt w:val="bullet"/>
      <w:lvlText w:val=""/>
      <w:lvlJc w:val="left"/>
      <w:pPr>
        <w:tabs>
          <w:tab w:val="num" w:pos="2574"/>
        </w:tabs>
        <w:ind w:left="2574" w:hanging="360"/>
      </w:pPr>
      <w:rPr>
        <w:rFonts w:ascii="Symbol" w:hAnsi="Symbol"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394014AB"/>
    <w:multiLevelType w:val="multilevel"/>
    <w:tmpl w:val="70D64B96"/>
    <w:lvl w:ilvl="0">
      <w:start w:val="1"/>
      <w:numFmt w:val="none"/>
      <w:pStyle w:val="Titre1"/>
      <w:lvlText w:val=""/>
      <w:lvlJc w:val="left"/>
      <w:pPr>
        <w:ind w:left="360" w:hanging="360"/>
      </w:pPr>
      <w:rPr>
        <w:rFonts w:hint="default"/>
      </w:rPr>
    </w:lvl>
    <w:lvl w:ilvl="1">
      <w:start w:val="1"/>
      <w:numFmt w:val="upperRoman"/>
      <w:pStyle w:val="Titre2"/>
      <w:lvlText w:val="%2."/>
      <w:lvlJc w:val="left"/>
      <w:pPr>
        <w:ind w:left="720" w:hanging="360"/>
      </w:pPr>
      <w:rPr>
        <w:rFonts w:hint="default"/>
      </w:rPr>
    </w:lvl>
    <w:lvl w:ilvl="2">
      <w:start w:val="1"/>
      <w:numFmt w:val="upperLetter"/>
      <w:pStyle w:val="Titre3"/>
      <w:lvlText w:val="%3-"/>
      <w:lvlJc w:val="left"/>
      <w:pPr>
        <w:ind w:left="1080" w:hanging="360"/>
      </w:pPr>
      <w:rPr>
        <w:rFonts w:hint="default"/>
      </w:rPr>
    </w:lvl>
    <w:lvl w:ilvl="3">
      <w:start w:val="1"/>
      <w:numFmt w:val="decimal"/>
      <w:pStyle w:val="Titre4"/>
      <w:lvlText w:val="%4)"/>
      <w:lvlJc w:val="left"/>
      <w:pPr>
        <w:ind w:left="1440" w:hanging="360"/>
      </w:pPr>
      <w:rPr>
        <w:rFonts w:hint="default"/>
      </w:rPr>
    </w:lvl>
    <w:lvl w:ilvl="4">
      <w:start w:val="1"/>
      <w:numFmt w:val="lowerLetter"/>
      <w:pStyle w:val="Titre5"/>
      <w:lvlText w:val="(%5)"/>
      <w:lvlJc w:val="left"/>
      <w:pPr>
        <w:ind w:left="1800" w:hanging="360"/>
      </w:pPr>
      <w:rPr>
        <w:rFonts w:hint="default"/>
      </w:rPr>
    </w:lvl>
    <w:lvl w:ilvl="5">
      <w:start w:val="1"/>
      <w:numFmt w:val="lowerRoman"/>
      <w:pStyle w:val="Titre6"/>
      <w:lvlText w:val="(%6)"/>
      <w:lvlJc w:val="left"/>
      <w:pPr>
        <w:ind w:left="2160" w:hanging="360"/>
      </w:pPr>
      <w:rPr>
        <w:rFonts w:hint="default"/>
      </w:rPr>
    </w:lvl>
    <w:lvl w:ilvl="6">
      <w:start w:val="1"/>
      <w:numFmt w:val="bullet"/>
      <w:pStyle w:val="Titre7"/>
      <w:lvlText w:val=""/>
      <w:lvlJc w:val="left"/>
      <w:pPr>
        <w:ind w:left="2520" w:hanging="360"/>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22"/>
    <w:rsid w:val="00000D25"/>
    <w:rsid w:val="00061A67"/>
    <w:rsid w:val="001618DA"/>
    <w:rsid w:val="002A4772"/>
    <w:rsid w:val="002E2E62"/>
    <w:rsid w:val="005048E5"/>
    <w:rsid w:val="008362D5"/>
    <w:rsid w:val="008C173B"/>
    <w:rsid w:val="008E0552"/>
    <w:rsid w:val="0099195B"/>
    <w:rsid w:val="00B970A7"/>
    <w:rsid w:val="00C77D22"/>
    <w:rsid w:val="00CB7699"/>
    <w:rsid w:val="00D763C7"/>
    <w:rsid w:val="00F3438F"/>
    <w:rsid w:val="00FE0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6FA1"/>
  <w15:chartTrackingRefBased/>
  <w15:docId w15:val="{CC7C3F40-FAC2-486F-953A-7F8B799B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22"/>
    <w:pPr>
      <w:spacing w:after="0" w:line="240" w:lineRule="auto"/>
    </w:pPr>
    <w:rPr>
      <w:rFonts w:ascii="Times New Roman" w:eastAsia="Calibri" w:hAnsi="Times New Roman" w:cs="Times New Roman"/>
    </w:rPr>
  </w:style>
  <w:style w:type="paragraph" w:styleId="Titre1">
    <w:name w:val="heading 1"/>
    <w:aliases w:val="Titre 1 bis,Titre partie"/>
    <w:basedOn w:val="Normal"/>
    <w:next w:val="Normal"/>
    <w:link w:val="Titre1Car"/>
    <w:autoRedefine/>
    <w:qFormat/>
    <w:rsid w:val="00C77D22"/>
    <w:pPr>
      <w:keepNext/>
      <w:numPr>
        <w:numId w:val="1"/>
      </w:numPr>
      <w:pBdr>
        <w:top w:val="single" w:sz="4" w:space="1" w:color="auto"/>
        <w:left w:val="single" w:sz="4" w:space="4" w:color="auto"/>
        <w:bottom w:val="single" w:sz="4" w:space="1" w:color="auto"/>
        <w:right w:val="single" w:sz="4" w:space="4" w:color="auto"/>
      </w:pBdr>
      <w:spacing w:before="240" w:after="60"/>
      <w:jc w:val="center"/>
      <w:outlineLvl w:val="0"/>
    </w:pPr>
    <w:rPr>
      <w:b/>
      <w:bCs/>
      <w:caps/>
      <w:kern w:val="32"/>
      <w:sz w:val="28"/>
      <w:szCs w:val="32"/>
      <w:lang w:eastAsia="fr-FR"/>
    </w:rPr>
  </w:style>
  <w:style w:type="paragraph" w:styleId="Titre2">
    <w:name w:val="heading 2"/>
    <w:basedOn w:val="Normal"/>
    <w:next w:val="Normal"/>
    <w:link w:val="Titre2Car"/>
    <w:autoRedefine/>
    <w:qFormat/>
    <w:rsid w:val="00C77D22"/>
    <w:pPr>
      <w:keepNext/>
      <w:numPr>
        <w:ilvl w:val="1"/>
        <w:numId w:val="1"/>
      </w:numPr>
      <w:spacing w:before="240" w:after="60"/>
      <w:jc w:val="both"/>
      <w:outlineLvl w:val="1"/>
    </w:pPr>
    <w:rPr>
      <w:b/>
      <w:bCs/>
      <w:smallCaps/>
      <w:sz w:val="24"/>
      <w:szCs w:val="28"/>
      <w:u w:val="single"/>
      <w:lang w:eastAsia="fr-FR"/>
    </w:rPr>
  </w:style>
  <w:style w:type="paragraph" w:styleId="Titre3">
    <w:name w:val="heading 3"/>
    <w:basedOn w:val="Normal"/>
    <w:next w:val="Normal"/>
    <w:link w:val="Titre3Car"/>
    <w:autoRedefine/>
    <w:qFormat/>
    <w:rsid w:val="00C77D22"/>
    <w:pPr>
      <w:keepNext/>
      <w:numPr>
        <w:ilvl w:val="2"/>
        <w:numId w:val="1"/>
      </w:numPr>
      <w:spacing w:before="240" w:after="60"/>
      <w:jc w:val="both"/>
      <w:outlineLvl w:val="2"/>
    </w:pPr>
    <w:rPr>
      <w:b/>
      <w:bCs/>
      <w:szCs w:val="26"/>
      <w:u w:val="single"/>
      <w:lang w:eastAsia="fr-FR"/>
    </w:rPr>
  </w:style>
  <w:style w:type="paragraph" w:styleId="Titre4">
    <w:name w:val="heading 4"/>
    <w:basedOn w:val="Normal"/>
    <w:next w:val="Normal"/>
    <w:link w:val="Titre4Car"/>
    <w:autoRedefine/>
    <w:qFormat/>
    <w:rsid w:val="002E2E62"/>
    <w:pPr>
      <w:keepNext/>
      <w:numPr>
        <w:ilvl w:val="3"/>
        <w:numId w:val="1"/>
      </w:numPr>
      <w:spacing w:before="240"/>
      <w:jc w:val="both"/>
      <w:outlineLvl w:val="3"/>
    </w:pPr>
    <w:rPr>
      <w:rFonts w:asciiTheme="minorHAnsi" w:hAnsiTheme="minorHAnsi" w:cstheme="minorHAnsi"/>
      <w:b/>
      <w:bCs/>
      <w:szCs w:val="24"/>
      <w:u w:val="single"/>
      <w:lang w:eastAsia="fr-FR"/>
    </w:rPr>
  </w:style>
  <w:style w:type="paragraph" w:styleId="Titre5">
    <w:name w:val="heading 5"/>
    <w:basedOn w:val="Normal"/>
    <w:next w:val="Normal"/>
    <w:link w:val="Titre5Car"/>
    <w:qFormat/>
    <w:rsid w:val="00C77D22"/>
    <w:pPr>
      <w:keepNext/>
      <w:numPr>
        <w:ilvl w:val="4"/>
        <w:numId w:val="1"/>
      </w:numPr>
      <w:spacing w:before="120" w:after="120"/>
      <w:jc w:val="both"/>
      <w:outlineLvl w:val="4"/>
    </w:pPr>
    <w:rPr>
      <w:b/>
      <w:szCs w:val="20"/>
      <w:lang w:eastAsia="fr-FR"/>
    </w:rPr>
  </w:style>
  <w:style w:type="paragraph" w:styleId="Titre6">
    <w:name w:val="heading 6"/>
    <w:aliases w:val="Titre chapitre"/>
    <w:basedOn w:val="Normal"/>
    <w:next w:val="Normal"/>
    <w:link w:val="Titre6Car"/>
    <w:qFormat/>
    <w:rsid w:val="00C77D22"/>
    <w:pPr>
      <w:keepNext/>
      <w:numPr>
        <w:ilvl w:val="5"/>
        <w:numId w:val="1"/>
      </w:numPr>
      <w:jc w:val="center"/>
      <w:outlineLvl w:val="5"/>
    </w:pPr>
    <w:rPr>
      <w:b/>
      <w:sz w:val="36"/>
      <w:szCs w:val="20"/>
      <w:lang w:eastAsia="fr-FR"/>
    </w:rPr>
  </w:style>
  <w:style w:type="paragraph" w:styleId="Titre7">
    <w:name w:val="heading 7"/>
    <w:basedOn w:val="Normal"/>
    <w:next w:val="Normal"/>
    <w:link w:val="Titre7Car"/>
    <w:qFormat/>
    <w:rsid w:val="00C77D22"/>
    <w:pPr>
      <w:keepNext/>
      <w:numPr>
        <w:ilvl w:val="6"/>
        <w:numId w:val="1"/>
      </w:numPr>
      <w:spacing w:before="120" w:after="120"/>
      <w:outlineLvl w:val="6"/>
    </w:pPr>
    <w:rPr>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bis Car,Titre partie Car"/>
    <w:basedOn w:val="Policepardfaut"/>
    <w:link w:val="Titre1"/>
    <w:rsid w:val="00C77D22"/>
    <w:rPr>
      <w:rFonts w:ascii="Times New Roman" w:eastAsia="Calibri" w:hAnsi="Times New Roman" w:cs="Times New Roman"/>
      <w:b/>
      <w:bCs/>
      <w:caps/>
      <w:kern w:val="32"/>
      <w:sz w:val="28"/>
      <w:szCs w:val="32"/>
      <w:lang w:eastAsia="fr-FR"/>
    </w:rPr>
  </w:style>
  <w:style w:type="character" w:customStyle="1" w:styleId="Titre2Car">
    <w:name w:val="Titre 2 Car"/>
    <w:basedOn w:val="Policepardfaut"/>
    <w:link w:val="Titre2"/>
    <w:rsid w:val="00C77D22"/>
    <w:rPr>
      <w:rFonts w:ascii="Times New Roman" w:eastAsia="Calibri" w:hAnsi="Times New Roman" w:cs="Times New Roman"/>
      <w:b/>
      <w:bCs/>
      <w:smallCaps/>
      <w:sz w:val="24"/>
      <w:szCs w:val="28"/>
      <w:u w:val="single"/>
      <w:lang w:eastAsia="fr-FR"/>
    </w:rPr>
  </w:style>
  <w:style w:type="character" w:customStyle="1" w:styleId="Titre3Car">
    <w:name w:val="Titre 3 Car"/>
    <w:basedOn w:val="Policepardfaut"/>
    <w:link w:val="Titre3"/>
    <w:rsid w:val="00C77D22"/>
    <w:rPr>
      <w:rFonts w:ascii="Times New Roman" w:eastAsia="Calibri" w:hAnsi="Times New Roman" w:cs="Times New Roman"/>
      <w:b/>
      <w:bCs/>
      <w:szCs w:val="26"/>
      <w:u w:val="single"/>
      <w:lang w:eastAsia="fr-FR"/>
    </w:rPr>
  </w:style>
  <w:style w:type="character" w:customStyle="1" w:styleId="Titre4Car">
    <w:name w:val="Titre 4 Car"/>
    <w:basedOn w:val="Policepardfaut"/>
    <w:link w:val="Titre4"/>
    <w:rsid w:val="002E2E62"/>
    <w:rPr>
      <w:rFonts w:eastAsia="Calibri" w:cstheme="minorHAnsi"/>
      <w:b/>
      <w:bCs/>
      <w:szCs w:val="24"/>
      <w:u w:val="single"/>
      <w:lang w:eastAsia="fr-FR"/>
    </w:rPr>
  </w:style>
  <w:style w:type="character" w:customStyle="1" w:styleId="Titre5Car">
    <w:name w:val="Titre 5 Car"/>
    <w:basedOn w:val="Policepardfaut"/>
    <w:link w:val="Titre5"/>
    <w:rsid w:val="00C77D22"/>
    <w:rPr>
      <w:rFonts w:ascii="Times New Roman" w:eastAsia="Calibri" w:hAnsi="Times New Roman" w:cs="Times New Roman"/>
      <w:b/>
      <w:szCs w:val="20"/>
      <w:lang w:eastAsia="fr-FR"/>
    </w:rPr>
  </w:style>
  <w:style w:type="character" w:customStyle="1" w:styleId="Titre6Car">
    <w:name w:val="Titre 6 Car"/>
    <w:aliases w:val="Titre chapitre Car"/>
    <w:basedOn w:val="Policepardfaut"/>
    <w:link w:val="Titre6"/>
    <w:rsid w:val="00C77D22"/>
    <w:rPr>
      <w:rFonts w:ascii="Times New Roman" w:eastAsia="Calibri" w:hAnsi="Times New Roman" w:cs="Times New Roman"/>
      <w:b/>
      <w:sz w:val="36"/>
      <w:szCs w:val="20"/>
      <w:lang w:eastAsia="fr-FR"/>
    </w:rPr>
  </w:style>
  <w:style w:type="character" w:customStyle="1" w:styleId="Titre7Car">
    <w:name w:val="Titre 7 Car"/>
    <w:basedOn w:val="Policepardfaut"/>
    <w:link w:val="Titre7"/>
    <w:rsid w:val="00C77D22"/>
    <w:rPr>
      <w:rFonts w:ascii="Times New Roman" w:eastAsia="Calibri" w:hAnsi="Times New Roman" w:cs="Times New Roman"/>
      <w:b/>
      <w:szCs w:val="20"/>
      <w:lang w:eastAsia="fr-FR"/>
    </w:rPr>
  </w:style>
  <w:style w:type="character" w:styleId="Lienhypertexte">
    <w:name w:val="Hyperlink"/>
    <w:basedOn w:val="Policepardfaut"/>
    <w:uiPriority w:val="99"/>
    <w:semiHidden/>
    <w:unhideWhenUsed/>
    <w:rsid w:val="00061A67"/>
    <w:rPr>
      <w:color w:val="0000FF"/>
      <w:u w:val="single"/>
    </w:rPr>
  </w:style>
  <w:style w:type="character" w:styleId="Lienhypertextesuivivisit">
    <w:name w:val="FollowedHyperlink"/>
    <w:basedOn w:val="Policepardfaut"/>
    <w:uiPriority w:val="99"/>
    <w:semiHidden/>
    <w:unhideWhenUsed/>
    <w:rsid w:val="002E2E62"/>
    <w:rPr>
      <w:color w:val="954F72" w:themeColor="followedHyperlink"/>
      <w:u w:val="single"/>
    </w:rPr>
  </w:style>
  <w:style w:type="paragraph" w:styleId="Paragraphedeliste">
    <w:name w:val="List Paragraph"/>
    <w:basedOn w:val="Normal"/>
    <w:uiPriority w:val="34"/>
    <w:qFormat/>
    <w:rsid w:val="002E2E62"/>
    <w:pPr>
      <w:ind w:left="720"/>
      <w:contextualSpacing/>
    </w:pPr>
  </w:style>
  <w:style w:type="paragraph" w:customStyle="1" w:styleId="Style1">
    <w:name w:val="Style1"/>
    <w:basedOn w:val="Titre3"/>
    <w:rsid w:val="00D763C7"/>
    <w:pPr>
      <w:numPr>
        <w:numId w:val="4"/>
      </w:numPr>
    </w:pPr>
    <w:rPr>
      <w:b w:val="0"/>
      <w:i/>
    </w:rPr>
  </w:style>
  <w:style w:type="paragraph" w:customStyle="1" w:styleId="Default">
    <w:name w:val="Default"/>
    <w:rsid w:val="00D763C7"/>
    <w:pPr>
      <w:autoSpaceDE w:val="0"/>
      <w:autoSpaceDN w:val="0"/>
      <w:adjustRightInd w:val="0"/>
      <w:spacing w:after="0" w:line="240" w:lineRule="auto"/>
    </w:pPr>
    <w:rPr>
      <w:rFonts w:ascii="Tahoma" w:hAnsi="Tahoma" w:cs="Tahoma"/>
      <w:color w:val="000000"/>
      <w:sz w:val="24"/>
      <w:szCs w:val="24"/>
    </w:rPr>
  </w:style>
  <w:style w:type="character" w:styleId="Textedelespacerserv">
    <w:name w:val="Placeholder Text"/>
    <w:basedOn w:val="Policepardfaut"/>
    <w:uiPriority w:val="99"/>
    <w:semiHidden/>
    <w:rsid w:val="008C1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dc:creator>
  <cp:keywords/>
  <dc:description/>
  <cp:lastModifiedBy>BORIS GIRONCOURT</cp:lastModifiedBy>
  <cp:revision>6</cp:revision>
  <dcterms:created xsi:type="dcterms:W3CDTF">2020-01-21T15:56:00Z</dcterms:created>
  <dcterms:modified xsi:type="dcterms:W3CDTF">2020-02-06T15:18:00Z</dcterms:modified>
</cp:coreProperties>
</file>